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05E24C2" w14:textId="77777777" w:rsidR="00302B1B" w:rsidRPr="00D862C7" w:rsidRDefault="00302B1B" w:rsidP="00302B1B">
      <w:pPr>
        <w:spacing w:after="0" w:line="240" w:lineRule="auto"/>
        <w:ind w:firstLine="426"/>
        <w:rPr>
          <w:rFonts w:ascii="Times New Roman" w:hAnsi="Times New Roman"/>
          <w:b/>
          <w:i w:val="0"/>
          <w:color w:val="262626"/>
          <w:sz w:val="28"/>
          <w:szCs w:val="28"/>
          <w:lang w:val="ru-RU"/>
        </w:rPr>
      </w:pPr>
      <w:r w:rsidRPr="00D862C7">
        <w:rPr>
          <w:rFonts w:ascii="Times New Roman" w:hAnsi="Times New Roman"/>
          <w:b/>
          <w:i w:val="0"/>
          <w:color w:val="262626"/>
          <w:sz w:val="28"/>
          <w:szCs w:val="28"/>
          <w:lang w:val="kk-KZ"/>
        </w:rPr>
        <w:t>ДӘРІС 12</w:t>
      </w:r>
    </w:p>
    <w:p w14:paraId="26B4F4EE" w14:textId="77777777" w:rsidR="00302B1B" w:rsidRPr="00440F3C" w:rsidRDefault="00302B1B" w:rsidP="00302B1B">
      <w:pPr>
        <w:spacing w:after="0" w:line="240" w:lineRule="auto"/>
        <w:ind w:firstLine="426"/>
        <w:jc w:val="center"/>
        <w:rPr>
          <w:rFonts w:ascii="Times New Roman" w:hAnsi="Times New Roman"/>
          <w:b/>
          <w:i w:val="0"/>
          <w:color w:val="170DE9"/>
          <w:sz w:val="32"/>
          <w:szCs w:val="32"/>
          <w:u w:val="single"/>
          <w:lang w:val="kk-KZ"/>
        </w:rPr>
      </w:pPr>
      <w:r w:rsidRPr="00440F3C">
        <w:rPr>
          <w:rFonts w:ascii="Times New Roman" w:hAnsi="Times New Roman"/>
          <w:b/>
          <w:i w:val="0"/>
          <w:color w:val="170DE9"/>
          <w:sz w:val="32"/>
          <w:szCs w:val="32"/>
          <w:u w:val="single"/>
          <w:lang w:val="kk-KZ"/>
        </w:rPr>
        <w:t>Күрделі тыңайтқыштар</w:t>
      </w:r>
    </w:p>
    <w:p w14:paraId="072508C2" w14:textId="77777777" w:rsidR="00302B1B" w:rsidRPr="00440F3C" w:rsidRDefault="00302B1B" w:rsidP="00302B1B">
      <w:pPr>
        <w:spacing w:after="0" w:line="240" w:lineRule="auto"/>
        <w:ind w:firstLine="426"/>
        <w:jc w:val="center"/>
        <w:rPr>
          <w:rFonts w:ascii="Times New Roman" w:hAnsi="Times New Roman"/>
          <w:i w:val="0"/>
          <w:color w:val="170DE9"/>
          <w:sz w:val="32"/>
          <w:szCs w:val="32"/>
          <w:u w:val="single"/>
          <w:lang w:val="kk-KZ"/>
        </w:rPr>
      </w:pPr>
    </w:p>
    <w:p w14:paraId="32CDBA18" w14:textId="77777777" w:rsidR="00302B1B" w:rsidRPr="001E3C2C" w:rsidRDefault="00302B1B" w:rsidP="00302B1B">
      <w:pPr>
        <w:spacing w:after="0" w:line="240" w:lineRule="auto"/>
        <w:ind w:firstLine="426"/>
        <w:jc w:val="both"/>
        <w:rPr>
          <w:rFonts w:ascii="Times New Roman" w:hAnsi="Times New Roman"/>
          <w:i w:val="0"/>
          <w:color w:val="170DE9"/>
          <w:sz w:val="28"/>
          <w:szCs w:val="28"/>
          <w:lang w:val="kk-KZ"/>
        </w:rPr>
      </w:pPr>
      <w:r w:rsidRPr="001E3C2C">
        <w:rPr>
          <w:rFonts w:ascii="Times New Roman" w:hAnsi="Times New Roman"/>
          <w:i w:val="0"/>
          <w:color w:val="170DE9"/>
          <w:sz w:val="28"/>
          <w:szCs w:val="28"/>
          <w:u w:val="single"/>
          <w:lang w:val="kk-KZ"/>
        </w:rPr>
        <w:t>Күрделі тыңайтқыштар зауыт жағдайында дайындалып, атына сәйкес құрамында 2-3 қоректік заттар болады.</w:t>
      </w:r>
      <w:r w:rsidRPr="00440F3C">
        <w:rPr>
          <w:rFonts w:ascii="Times New Roman" w:hAnsi="Times New Roman"/>
          <w:i w:val="0"/>
          <w:color w:val="000000" w:themeColor="text1"/>
          <w:sz w:val="28"/>
          <w:szCs w:val="28"/>
          <w:u w:val="single"/>
          <w:lang w:val="kk-KZ"/>
        </w:rPr>
        <w:t xml:space="preserve"> </w:t>
      </w:r>
      <w:r w:rsidRPr="001E3C2C">
        <w:rPr>
          <w:rFonts w:ascii="Times New Roman" w:hAnsi="Times New Roman"/>
          <w:i w:val="0"/>
          <w:color w:val="000000" w:themeColor="text1"/>
          <w:sz w:val="28"/>
          <w:szCs w:val="28"/>
          <w:lang w:val="kk-KZ"/>
        </w:rPr>
        <w:t>Қазіргі кездегі қолданылып жүрген</w:t>
      </w:r>
      <w:r w:rsidRPr="00302B1B">
        <w:rPr>
          <w:rFonts w:ascii="Times New Roman" w:hAnsi="Times New Roman"/>
          <w:i w:val="0"/>
          <w:color w:val="000000" w:themeColor="text1"/>
          <w:sz w:val="28"/>
          <w:szCs w:val="28"/>
          <w:lang w:val="kk-KZ"/>
        </w:rPr>
        <w:t xml:space="preserve"> </w:t>
      </w:r>
      <w:r w:rsidRPr="001E3C2C">
        <w:rPr>
          <w:rFonts w:ascii="Times New Roman" w:hAnsi="Times New Roman"/>
          <w:i w:val="0"/>
          <w:color w:val="170DE9"/>
          <w:sz w:val="28"/>
          <w:szCs w:val="28"/>
          <w:lang w:val="kk-KZ"/>
        </w:rPr>
        <w:t>күрделі тыңайтқыштар қатарына аммофос, диаммофос, нитроаммофос, нитрофос пен нитрофоска, калий селитрасы, түрлі полифосфаттар және де қоспалы (аралас) тыңайтқыштар жатады.</w:t>
      </w:r>
    </w:p>
    <w:p w14:paraId="1968E65D"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Біздің елімізде күрделі тыңайтқыштар өндірудің екі жолы бар: аммоний фофатының қатысуымен және табиғи фосфориттерді азот қышқылымен өңдеу арқылы алу.</w:t>
      </w:r>
    </w:p>
    <w:p w14:paraId="685A47BD"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Аммофос- NH</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H</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PO</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 құрамында 10-12% азот, 40-60% шамасында фосфоры бар, ақшыл-сұр немесе көгілдір-сұр түсті, ұсақ түйіршікті тыңайтқыш. Суда жақсы ериді.</w:t>
      </w:r>
    </w:p>
    <w:p w14:paraId="6A7F0236"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Аммофос ауыл шаруашылығы дақылдары үшін өте қажет тыңайтқыш, бірақ оның бір кемшілігі бар. Оның құрамындағы азот пен фосфор заттарының арақатынасы тым алшақ (1:4 немесе 1:5) болып келеді. Бұл тыңайтқыш көбінесе фосфор есебінен қолданылады да топыраққа қосымша көп азо беруді қажет етеді. Оны өсімдіктердің вегетациялық дәуірі кезеңдерінде азотпен үстеп қоректендірумен толықтырып отыруға болады.</w:t>
      </w:r>
    </w:p>
    <w:p w14:paraId="2584C8AE"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Диаммофос- (NH</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HPO</w:t>
      </w:r>
      <w:r w:rsidRPr="00302B1B">
        <w:rPr>
          <w:rFonts w:ascii="Times New Roman" w:hAnsi="Times New Roman"/>
          <w:i w:val="0"/>
          <w:color w:val="000000" w:themeColor="text1"/>
          <w:sz w:val="28"/>
          <w:szCs w:val="28"/>
          <w:vertAlign w:val="subscript"/>
          <w:lang w:val="kk-KZ"/>
        </w:rPr>
        <w:t>4</w:t>
      </w:r>
      <w:r w:rsidRPr="00302B1B">
        <w:rPr>
          <w:rFonts w:ascii="Times New Roman" w:hAnsi="Times New Roman"/>
          <w:i w:val="0"/>
          <w:color w:val="000000" w:themeColor="text1"/>
          <w:sz w:val="28"/>
          <w:szCs w:val="28"/>
          <w:lang w:val="kk-KZ"/>
        </w:rPr>
        <w:t>- барлық қасиеттері жағынан аммофоска ұқсас, құрамында 18-21% мөлшерде азот пен 45-50% мөлшерінде фосфор қостотығы бар, ақшыл-сұр түсті, ұсақ түйіршікті тыңайтқыш. Суда жақсы ериді. Бұл тыңайтқыштың құрамындағы қоректік заттар мөлшері 70% асады, яғни, өте қонцентрациялы күрделі тыңайтқыш. Оны пайдалану  экономикалық жағынан өте тиімді.</w:t>
      </w:r>
    </w:p>
    <w:p w14:paraId="721386BC"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Диаммофосты да барлық ауыл шаруашылығы дақылдары үшін кез келген топырақтарда қолдануға болады.</w:t>
      </w:r>
    </w:p>
    <w:p w14:paraId="7224DE18"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Нитроаммофос- құрамында 10-30% азот пен 14-27% фосфор бар суда жақсы еритін тыңайтқыш. Түйіршікті түрде ғана шығарылады. Оны барлық топырақтарда және тұқым себуге дейін, себумен бірге үстеп қоректендіруге қолдануға болады.</w:t>
      </w:r>
    </w:p>
    <w:p w14:paraId="0B692C0B"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Нитрофос және нитрофоска- құрамында 14-18% шамасында азот пен фосфор (нитрофос) және калийі (нитрофоска) бар, ақ-сұр түсті, түйіршікті тыңайтқыштар. Бұл тыңайтқыштар ылғал тартады, сондықтан оларды сақтау ережелерін бұлжытпай орындау керек.</w:t>
      </w:r>
    </w:p>
    <w:p w14:paraId="5CCB5612"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Нитрофос пен нитрофоска зауыттар жағдайында алынатын, құрамындағы азоты, фосфоры және калийінің ара қатынастары егіске қолдпну үшін өте ыңғайлы тыңайтқыштар. Олардың артықшылығы- жәй тыңайтқыштардағыдай механикалық түрде қолдан қоспа жасалмайды, сондықтан экономикалық өте тиімді.</w:t>
      </w:r>
    </w:p>
    <w:p w14:paraId="7FB1D397"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Полифосфаттар да күрделі тыңайтқыштар қатарына жатады. Олардың құрамында фосфордан басқа аммоний, калий немесе кальций болады. Полифосфаттар аса концентрациялы суперфосфат қышқылын аммоний, </w:t>
      </w:r>
      <w:r w:rsidRPr="00302B1B">
        <w:rPr>
          <w:rFonts w:ascii="Times New Roman" w:hAnsi="Times New Roman"/>
          <w:i w:val="0"/>
          <w:color w:val="000000" w:themeColor="text1"/>
          <w:sz w:val="28"/>
          <w:szCs w:val="28"/>
          <w:lang w:val="kk-KZ"/>
        </w:rPr>
        <w:lastRenderedPageBreak/>
        <w:t>калий немесе кальциймен қанықтыру арқылы алынады. Құрамындағы пайдалы заттардың қосындысы 75-85% дейін жетеді, яғни, олар аса концентрациялы күрделі тыңайтқыштар болып саналады. Қоректік заттары аса көп болғандықтан, бұл тыңайтқыштарды неғұрлым қашыққа тасымалдаудан, жәй тыңайтқыштармен салыстырғанда едәір мөлшерде қаржы үнемделеді, яғни, экономикалық жағынан тиімді.</w:t>
      </w:r>
    </w:p>
    <w:p w14:paraId="640F4D00"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Сұйық күрделі тыңайтқыштар қазіргі кезде ауыл шаруашылығына өте тиімді. Сұйық тыңайтқыштар- түрлі қоректік заттар ерітіндісі, сондықтан да қатты тыңайтқыштарға қарағанда қорек заттары әбден араласқан, механизмдердің көмегімен тиеп-түсіруге, тасымалдауға және қолдануға өте ыңғайлы. Сұйық күрделі тыңайтқыштарда бос аммиак жоқ, қолдануға ыңғайлы және бағасы да қатты тыңайтқыштарға қарағанда шамамен 20% арзан.</w:t>
      </w:r>
    </w:p>
    <w:p w14:paraId="3A09F0A9"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Бұл тыңайтқыштардың құрамындағы қоректік заттардың мөлшері 27-30% аспайды, өйткені неғұрлым бұл заттардың концентрациясы көбейген сайын, олардың сұйық күйінде тұруы нашарлайды. Қоректік заттардың бәрі дерлік өсімдіктерге сіңімді түрде болғандықтан, оларды қолдану өте тиімді.</w:t>
      </w:r>
    </w:p>
    <w:p w14:paraId="2A62604F"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Қоспалы (аралас) тыңайтқыштар- кәдімгі өндірістік жәй тыңайтқыштардың бірнешеуін араластыру арқылы жасалады. Әдетте, мұндай тыңайтқыштардың құрамы мен қоректік зат мөлшері, олардың қандай жерлер мен дақылдарда пайдаланылатынына қарай әр түрлі құрамда жасалынады. Қоспалы тыңайтқыштардың құрамына негізгі үш қоректік зат- азот, фосфор, калийдан басқа микроэлементтерді де қосуға болады.</w:t>
      </w:r>
    </w:p>
    <w:p w14:paraId="1B15732B"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Қоспалы тыңайтқыштар ұнтақ күйінде дайындалады. Тек ұнтақтап араластыру арқылы ғана оның құрамындағы заттардың біркелкілігін сақтауға болады. </w:t>
      </w:r>
    </w:p>
    <w:p w14:paraId="20F00281"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Қоспалы тыңайтқыштарды түйіршіктер күйінде де дайындайды. Ол үшін дайын тұрған суперфосфат, болмаса аммофос түйіршіктерін (тыңайтқышын) газ немесе сұйық күйдегі аммиакпен қанықтырады.</w:t>
      </w:r>
    </w:p>
    <w:p w14:paraId="329CC616"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араластыру тиімді. Біпіншіден, жеке элементтері дұрыс қатынастағы қоректік заттармен қамтамасыз етілуімен дақылдар өнімі артады, ал екіншіден бұл тыңайтқышты пайдаланғанда еңбек пен уақыт аз жұмсалады.</w:t>
      </w:r>
    </w:p>
    <w:p w14:paraId="43680ED0"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Дұрыс араласқан тыңайтқыштардың физикалық қасиеттері жақсарады, ал дұрыс араласпайтындар- пайдалануға жарамсыз күйге айналады.</w:t>
      </w:r>
    </w:p>
    <w:p w14:paraId="0A0D0CB8"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өзара араласу мүмкіндігін аңықтауға 2-ші суреттегі ережелерді пайдалану керек.</w:t>
      </w:r>
    </w:p>
    <w:p w14:paraId="31ADA970"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Араластыру үшін құрғақ, майдаланған (ұнтақталған), әсіресе түйіртпектелген тыңайтқыштар дұрыс. Қоспаны тыңайтқыш ұнтақтағыш-араластырғыш (ИСУ-4) механизмі немесе арнаулы тыңайтқыш араластырғыш қондырғылар көмегімен дайындауға болады.</w:t>
      </w:r>
    </w:p>
    <w:p w14:paraId="6E4A092C" w14:textId="77777777" w:rsidR="00302B1B" w:rsidRPr="00302B1B" w:rsidRDefault="00302B1B" w:rsidP="00302B1B">
      <w:pPr>
        <w:spacing w:after="0" w:line="240" w:lineRule="auto"/>
        <w:ind w:firstLine="426"/>
        <w:jc w:val="center"/>
        <w:rPr>
          <w:rFonts w:ascii="Times New Roman" w:hAnsi="Times New Roman"/>
          <w:i w:val="0"/>
          <w:color w:val="000000" w:themeColor="text1"/>
          <w:sz w:val="28"/>
          <w:szCs w:val="28"/>
          <w:lang w:val="kk-KZ"/>
        </w:rPr>
      </w:pPr>
    </w:p>
    <w:p w14:paraId="294ED4DF" w14:textId="77777777"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14:paraId="50493A77" w14:textId="77777777"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14:paraId="2454BDB3" w14:textId="77777777"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14:paraId="61FE4707" w14:textId="77777777" w:rsidR="00AD614B" w:rsidRDefault="00AD614B" w:rsidP="00302B1B">
      <w:pPr>
        <w:spacing w:after="0" w:line="240" w:lineRule="auto"/>
        <w:ind w:firstLine="426"/>
        <w:jc w:val="center"/>
        <w:rPr>
          <w:rFonts w:ascii="Times New Roman" w:hAnsi="Times New Roman"/>
          <w:i w:val="0"/>
          <w:color w:val="000000" w:themeColor="text1"/>
          <w:sz w:val="28"/>
          <w:szCs w:val="28"/>
          <w:lang w:val="kk-KZ"/>
        </w:rPr>
      </w:pPr>
    </w:p>
    <w:p w14:paraId="72F7D0ED" w14:textId="77777777" w:rsidR="00302B1B" w:rsidRPr="00302B1B" w:rsidRDefault="00AD614B" w:rsidP="00302B1B">
      <w:pPr>
        <w:spacing w:after="0" w:line="240" w:lineRule="auto"/>
        <w:ind w:firstLine="426"/>
        <w:jc w:val="center"/>
        <w:rPr>
          <w:rFonts w:ascii="Times New Roman" w:hAnsi="Times New Roman"/>
          <w:i w:val="0"/>
          <w:color w:val="000000" w:themeColor="text1"/>
          <w:sz w:val="28"/>
          <w:szCs w:val="28"/>
          <w:lang w:val="kk-KZ"/>
        </w:rPr>
      </w:pPr>
      <w:r>
        <w:rPr>
          <w:rFonts w:ascii="Times New Roman" w:hAnsi="Times New Roman"/>
          <w:i w:val="0"/>
          <w:color w:val="000000" w:themeColor="text1"/>
          <w:sz w:val="28"/>
          <w:szCs w:val="28"/>
          <w:lang w:val="kk-KZ"/>
        </w:rPr>
        <w:t>1</w:t>
      </w:r>
      <w:r w:rsidR="00302B1B" w:rsidRPr="00302B1B">
        <w:rPr>
          <w:rFonts w:ascii="Times New Roman" w:hAnsi="Times New Roman"/>
          <w:i w:val="0"/>
          <w:color w:val="000000" w:themeColor="text1"/>
          <w:sz w:val="28"/>
          <w:szCs w:val="28"/>
          <w:lang w:val="kk-KZ"/>
        </w:rPr>
        <w:t xml:space="preserve"> кесте- Тыңайтқыштарды араластыру ережесі</w:t>
      </w:r>
    </w:p>
    <w:p w14:paraId="2816F7D4" w14:textId="77777777" w:rsidR="00302B1B" w:rsidRPr="00302B1B" w:rsidRDefault="00302B1B" w:rsidP="00302B1B">
      <w:pPr>
        <w:spacing w:after="0" w:line="240" w:lineRule="auto"/>
        <w:ind w:firstLine="426"/>
        <w:jc w:val="center"/>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57"/>
        <w:gridCol w:w="497"/>
        <w:gridCol w:w="507"/>
        <w:gridCol w:w="507"/>
        <w:gridCol w:w="506"/>
        <w:gridCol w:w="506"/>
        <w:gridCol w:w="506"/>
        <w:gridCol w:w="506"/>
        <w:gridCol w:w="506"/>
        <w:gridCol w:w="506"/>
        <w:gridCol w:w="506"/>
        <w:gridCol w:w="532"/>
        <w:gridCol w:w="532"/>
        <w:gridCol w:w="496"/>
      </w:tblGrid>
      <w:tr w:rsidR="00302B1B" w:rsidRPr="00302B1B" w14:paraId="498BC826"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142E50DE"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w:t>
            </w:r>
          </w:p>
        </w:tc>
        <w:tc>
          <w:tcPr>
            <w:tcW w:w="497" w:type="dxa"/>
            <w:tcBorders>
              <w:top w:val="single" w:sz="4" w:space="0" w:color="auto"/>
              <w:left w:val="single" w:sz="4" w:space="0" w:color="auto"/>
              <w:bottom w:val="single" w:sz="4" w:space="0" w:color="auto"/>
              <w:right w:val="single" w:sz="4" w:space="0" w:color="auto"/>
            </w:tcBorders>
          </w:tcPr>
          <w:p w14:paraId="4FE107C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hideMark/>
          </w:tcPr>
          <w:p w14:paraId="06F325F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w:t>
            </w:r>
          </w:p>
        </w:tc>
        <w:tc>
          <w:tcPr>
            <w:tcW w:w="507" w:type="dxa"/>
            <w:tcBorders>
              <w:top w:val="single" w:sz="4" w:space="0" w:color="auto"/>
              <w:left w:val="single" w:sz="4" w:space="0" w:color="auto"/>
              <w:bottom w:val="single" w:sz="4" w:space="0" w:color="auto"/>
              <w:right w:val="single" w:sz="4" w:space="0" w:color="auto"/>
            </w:tcBorders>
            <w:hideMark/>
          </w:tcPr>
          <w:p w14:paraId="39037C8C"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2</w:t>
            </w:r>
          </w:p>
        </w:tc>
        <w:tc>
          <w:tcPr>
            <w:tcW w:w="506" w:type="dxa"/>
            <w:tcBorders>
              <w:top w:val="single" w:sz="4" w:space="0" w:color="auto"/>
              <w:left w:val="single" w:sz="4" w:space="0" w:color="auto"/>
              <w:bottom w:val="single" w:sz="4" w:space="0" w:color="auto"/>
              <w:right w:val="single" w:sz="4" w:space="0" w:color="auto"/>
            </w:tcBorders>
            <w:hideMark/>
          </w:tcPr>
          <w:p w14:paraId="55CDD33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3</w:t>
            </w:r>
          </w:p>
        </w:tc>
        <w:tc>
          <w:tcPr>
            <w:tcW w:w="506" w:type="dxa"/>
            <w:tcBorders>
              <w:top w:val="single" w:sz="4" w:space="0" w:color="auto"/>
              <w:left w:val="single" w:sz="4" w:space="0" w:color="auto"/>
              <w:bottom w:val="single" w:sz="4" w:space="0" w:color="auto"/>
              <w:right w:val="single" w:sz="4" w:space="0" w:color="auto"/>
            </w:tcBorders>
            <w:hideMark/>
          </w:tcPr>
          <w:p w14:paraId="542C9BFA"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4</w:t>
            </w:r>
          </w:p>
        </w:tc>
        <w:tc>
          <w:tcPr>
            <w:tcW w:w="506" w:type="dxa"/>
            <w:tcBorders>
              <w:top w:val="single" w:sz="4" w:space="0" w:color="auto"/>
              <w:left w:val="single" w:sz="4" w:space="0" w:color="auto"/>
              <w:bottom w:val="single" w:sz="4" w:space="0" w:color="auto"/>
              <w:right w:val="single" w:sz="4" w:space="0" w:color="auto"/>
            </w:tcBorders>
            <w:hideMark/>
          </w:tcPr>
          <w:p w14:paraId="4E68AC1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5</w:t>
            </w:r>
          </w:p>
        </w:tc>
        <w:tc>
          <w:tcPr>
            <w:tcW w:w="506" w:type="dxa"/>
            <w:tcBorders>
              <w:top w:val="single" w:sz="4" w:space="0" w:color="auto"/>
              <w:left w:val="single" w:sz="4" w:space="0" w:color="auto"/>
              <w:bottom w:val="single" w:sz="4" w:space="0" w:color="auto"/>
              <w:right w:val="single" w:sz="4" w:space="0" w:color="auto"/>
            </w:tcBorders>
            <w:hideMark/>
          </w:tcPr>
          <w:p w14:paraId="209F129A"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6</w:t>
            </w:r>
          </w:p>
        </w:tc>
        <w:tc>
          <w:tcPr>
            <w:tcW w:w="506" w:type="dxa"/>
            <w:tcBorders>
              <w:top w:val="single" w:sz="4" w:space="0" w:color="auto"/>
              <w:left w:val="single" w:sz="4" w:space="0" w:color="auto"/>
              <w:bottom w:val="single" w:sz="4" w:space="0" w:color="auto"/>
              <w:right w:val="single" w:sz="4" w:space="0" w:color="auto"/>
            </w:tcBorders>
            <w:hideMark/>
          </w:tcPr>
          <w:p w14:paraId="1199576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7</w:t>
            </w:r>
          </w:p>
        </w:tc>
        <w:tc>
          <w:tcPr>
            <w:tcW w:w="506" w:type="dxa"/>
            <w:tcBorders>
              <w:top w:val="single" w:sz="4" w:space="0" w:color="auto"/>
              <w:left w:val="single" w:sz="4" w:space="0" w:color="auto"/>
              <w:bottom w:val="single" w:sz="4" w:space="0" w:color="auto"/>
              <w:right w:val="single" w:sz="4" w:space="0" w:color="auto"/>
            </w:tcBorders>
            <w:hideMark/>
          </w:tcPr>
          <w:p w14:paraId="42BB638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8</w:t>
            </w:r>
          </w:p>
        </w:tc>
        <w:tc>
          <w:tcPr>
            <w:tcW w:w="506" w:type="dxa"/>
            <w:tcBorders>
              <w:top w:val="single" w:sz="4" w:space="0" w:color="auto"/>
              <w:left w:val="single" w:sz="4" w:space="0" w:color="auto"/>
              <w:bottom w:val="single" w:sz="4" w:space="0" w:color="auto"/>
              <w:right w:val="single" w:sz="4" w:space="0" w:color="auto"/>
            </w:tcBorders>
            <w:hideMark/>
          </w:tcPr>
          <w:p w14:paraId="29E74DED"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9</w:t>
            </w:r>
          </w:p>
        </w:tc>
        <w:tc>
          <w:tcPr>
            <w:tcW w:w="532" w:type="dxa"/>
            <w:tcBorders>
              <w:top w:val="single" w:sz="4" w:space="0" w:color="auto"/>
              <w:left w:val="single" w:sz="4" w:space="0" w:color="auto"/>
              <w:bottom w:val="single" w:sz="4" w:space="0" w:color="auto"/>
              <w:right w:val="single" w:sz="4" w:space="0" w:color="auto"/>
            </w:tcBorders>
            <w:hideMark/>
          </w:tcPr>
          <w:p w14:paraId="29A542E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10</w:t>
            </w:r>
          </w:p>
        </w:tc>
        <w:tc>
          <w:tcPr>
            <w:tcW w:w="532" w:type="dxa"/>
            <w:tcBorders>
              <w:top w:val="single" w:sz="4" w:space="0" w:color="auto"/>
              <w:left w:val="single" w:sz="4" w:space="0" w:color="auto"/>
              <w:bottom w:val="single" w:sz="4" w:space="0" w:color="auto"/>
              <w:right w:val="single" w:sz="4" w:space="0" w:color="auto"/>
            </w:tcBorders>
            <w:hideMark/>
          </w:tcPr>
          <w:p w14:paraId="44058964"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11</w:t>
            </w:r>
          </w:p>
        </w:tc>
        <w:tc>
          <w:tcPr>
            <w:tcW w:w="496" w:type="dxa"/>
            <w:tcBorders>
              <w:top w:val="single" w:sz="4" w:space="0" w:color="auto"/>
              <w:left w:val="single" w:sz="4" w:space="0" w:color="auto"/>
              <w:bottom w:val="single" w:sz="4" w:space="0" w:color="auto"/>
              <w:right w:val="single" w:sz="4" w:space="0" w:color="auto"/>
            </w:tcBorders>
            <w:hideMark/>
          </w:tcPr>
          <w:p w14:paraId="23748E8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12</w:t>
            </w:r>
          </w:p>
        </w:tc>
      </w:tr>
      <w:tr w:rsidR="00302B1B" w:rsidRPr="00302B1B" w14:paraId="69282086"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128A391E"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Аммоний сульфаты, аммофос, диаммофос</w:t>
            </w:r>
          </w:p>
        </w:tc>
        <w:tc>
          <w:tcPr>
            <w:tcW w:w="497" w:type="dxa"/>
            <w:tcBorders>
              <w:top w:val="single" w:sz="4" w:space="0" w:color="auto"/>
              <w:left w:val="single" w:sz="4" w:space="0" w:color="auto"/>
              <w:bottom w:val="single" w:sz="4" w:space="0" w:color="auto"/>
              <w:right w:val="single" w:sz="4" w:space="0" w:color="auto"/>
            </w:tcBorders>
            <w:hideMark/>
          </w:tcPr>
          <w:p w14:paraId="5BBDE92C"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w:t>
            </w:r>
          </w:p>
        </w:tc>
        <w:tc>
          <w:tcPr>
            <w:tcW w:w="507" w:type="dxa"/>
            <w:tcBorders>
              <w:top w:val="single" w:sz="4" w:space="0" w:color="auto"/>
              <w:left w:val="single" w:sz="4" w:space="0" w:color="auto"/>
              <w:bottom w:val="single" w:sz="4" w:space="0" w:color="auto"/>
              <w:right w:val="single" w:sz="4" w:space="0" w:color="auto"/>
            </w:tcBorders>
            <w:hideMark/>
          </w:tcPr>
          <w:p w14:paraId="1FA71C7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14:paraId="68FB049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00ED4559"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298A04EE"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2EEBEEA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2C2EAFD5"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161C3A96"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5400512A"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2B36911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14:paraId="6768CC7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tcPr>
          <w:p w14:paraId="3A78B20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tcPr>
          <w:p w14:paraId="43532E68"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0D916727"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43749F3A"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Нитрофоска,аммиак селитрасы</w:t>
            </w:r>
          </w:p>
        </w:tc>
        <w:tc>
          <w:tcPr>
            <w:tcW w:w="497" w:type="dxa"/>
            <w:tcBorders>
              <w:top w:val="single" w:sz="4" w:space="0" w:color="auto"/>
              <w:left w:val="single" w:sz="4" w:space="0" w:color="auto"/>
              <w:bottom w:val="single" w:sz="4" w:space="0" w:color="auto"/>
              <w:right w:val="single" w:sz="4" w:space="0" w:color="auto"/>
            </w:tcBorders>
            <w:hideMark/>
          </w:tcPr>
          <w:p w14:paraId="6C0D5925"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2</w:t>
            </w:r>
          </w:p>
        </w:tc>
        <w:tc>
          <w:tcPr>
            <w:tcW w:w="507" w:type="dxa"/>
            <w:tcBorders>
              <w:top w:val="single" w:sz="4" w:space="0" w:color="auto"/>
              <w:left w:val="single" w:sz="4" w:space="0" w:color="auto"/>
              <w:bottom w:val="single" w:sz="4" w:space="0" w:color="auto"/>
              <w:right w:val="single" w:sz="4" w:space="0" w:color="auto"/>
            </w:tcBorders>
            <w:hideMark/>
          </w:tcPr>
          <w:p w14:paraId="5721E1E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14:paraId="49E4C96A"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690FC79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tcPr>
          <w:p w14:paraId="1D67DA4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342D65AE"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4CA28B2B"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12C1CAFD"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F9501A3"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026C86C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14:paraId="187A915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14:paraId="3125F69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tcPr>
          <w:p w14:paraId="1872F79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08D6B73B"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1E2EE9FC"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Натрий, калий, кальций селитрасы</w:t>
            </w:r>
          </w:p>
        </w:tc>
        <w:tc>
          <w:tcPr>
            <w:tcW w:w="497" w:type="dxa"/>
            <w:tcBorders>
              <w:top w:val="single" w:sz="4" w:space="0" w:color="auto"/>
              <w:left w:val="single" w:sz="4" w:space="0" w:color="auto"/>
              <w:bottom w:val="single" w:sz="4" w:space="0" w:color="auto"/>
              <w:right w:val="single" w:sz="4" w:space="0" w:color="auto"/>
            </w:tcBorders>
            <w:hideMark/>
          </w:tcPr>
          <w:p w14:paraId="08D31F7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3</w:t>
            </w:r>
          </w:p>
        </w:tc>
        <w:tc>
          <w:tcPr>
            <w:tcW w:w="507" w:type="dxa"/>
            <w:tcBorders>
              <w:top w:val="single" w:sz="4" w:space="0" w:color="auto"/>
              <w:left w:val="single" w:sz="4" w:space="0" w:color="auto"/>
              <w:bottom w:val="single" w:sz="4" w:space="0" w:color="auto"/>
              <w:right w:val="single" w:sz="4" w:space="0" w:color="auto"/>
            </w:tcBorders>
            <w:hideMark/>
          </w:tcPr>
          <w:p w14:paraId="266B1DE8"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14:paraId="7667028D"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68D9E10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099B4CB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25DB1400"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09AFFB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55106C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007D6DA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6E3D749"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4DC6F9E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656D741F"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496" w:type="dxa"/>
            <w:tcBorders>
              <w:top w:val="single" w:sz="4" w:space="0" w:color="auto"/>
              <w:left w:val="single" w:sz="4" w:space="0" w:color="auto"/>
              <w:bottom w:val="single" w:sz="4" w:space="0" w:color="auto"/>
              <w:right w:val="single" w:sz="4" w:space="0" w:color="auto"/>
            </w:tcBorders>
          </w:tcPr>
          <w:p w14:paraId="330CB05D"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661F2B4C"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304004F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Кальций цианамиды</w:t>
            </w:r>
          </w:p>
        </w:tc>
        <w:tc>
          <w:tcPr>
            <w:tcW w:w="497" w:type="dxa"/>
            <w:tcBorders>
              <w:top w:val="single" w:sz="4" w:space="0" w:color="auto"/>
              <w:left w:val="single" w:sz="4" w:space="0" w:color="auto"/>
              <w:bottom w:val="single" w:sz="4" w:space="0" w:color="auto"/>
              <w:right w:val="single" w:sz="4" w:space="0" w:color="auto"/>
            </w:tcBorders>
            <w:hideMark/>
          </w:tcPr>
          <w:p w14:paraId="230A2F0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4</w:t>
            </w:r>
          </w:p>
        </w:tc>
        <w:tc>
          <w:tcPr>
            <w:tcW w:w="507" w:type="dxa"/>
            <w:tcBorders>
              <w:top w:val="single" w:sz="4" w:space="0" w:color="auto"/>
              <w:left w:val="single" w:sz="4" w:space="0" w:color="auto"/>
              <w:bottom w:val="single" w:sz="4" w:space="0" w:color="auto"/>
              <w:right w:val="single" w:sz="4" w:space="0" w:color="auto"/>
            </w:tcBorders>
          </w:tcPr>
          <w:p w14:paraId="58B9D53C"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14:paraId="6C364E8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7A6EF11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0D252415"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64E5E9CE"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63477C2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487372E2"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100B2C36"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17ABBA8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14:paraId="321ECB1E"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6263191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496" w:type="dxa"/>
            <w:tcBorders>
              <w:top w:val="single" w:sz="4" w:space="0" w:color="auto"/>
              <w:left w:val="single" w:sz="4" w:space="0" w:color="auto"/>
              <w:bottom w:val="single" w:sz="4" w:space="0" w:color="auto"/>
              <w:right w:val="single" w:sz="4" w:space="0" w:color="auto"/>
            </w:tcBorders>
          </w:tcPr>
          <w:p w14:paraId="0EC63D0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2AE3B949"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54CCFDF1"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Мочевина (карбамид)</w:t>
            </w:r>
          </w:p>
        </w:tc>
        <w:tc>
          <w:tcPr>
            <w:tcW w:w="497" w:type="dxa"/>
            <w:tcBorders>
              <w:top w:val="single" w:sz="4" w:space="0" w:color="auto"/>
              <w:left w:val="single" w:sz="4" w:space="0" w:color="auto"/>
              <w:bottom w:val="single" w:sz="4" w:space="0" w:color="auto"/>
              <w:right w:val="single" w:sz="4" w:space="0" w:color="auto"/>
            </w:tcBorders>
            <w:hideMark/>
          </w:tcPr>
          <w:p w14:paraId="5736DFA4"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5</w:t>
            </w:r>
          </w:p>
        </w:tc>
        <w:tc>
          <w:tcPr>
            <w:tcW w:w="507" w:type="dxa"/>
            <w:tcBorders>
              <w:top w:val="single" w:sz="4" w:space="0" w:color="auto"/>
              <w:left w:val="single" w:sz="4" w:space="0" w:color="auto"/>
              <w:bottom w:val="single" w:sz="4" w:space="0" w:color="auto"/>
              <w:right w:val="single" w:sz="4" w:space="0" w:color="auto"/>
            </w:tcBorders>
            <w:hideMark/>
          </w:tcPr>
          <w:p w14:paraId="6F2E6F4A"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14:paraId="63706C7B"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AFE9B99"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44A43285"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A32EE8E"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3EF6C06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1B405B88"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0F042CA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E31B7A5"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445EF88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0A7126BE"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496" w:type="dxa"/>
            <w:tcBorders>
              <w:top w:val="single" w:sz="4" w:space="0" w:color="auto"/>
              <w:left w:val="single" w:sz="4" w:space="0" w:color="auto"/>
              <w:bottom w:val="single" w:sz="4" w:space="0" w:color="auto"/>
              <w:right w:val="single" w:sz="4" w:space="0" w:color="auto"/>
            </w:tcBorders>
            <w:hideMark/>
          </w:tcPr>
          <w:p w14:paraId="31E7F661"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r>
      <w:tr w:rsidR="00302B1B" w:rsidRPr="00302B1B" w14:paraId="0C90173A"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7D47FB6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Суперфосфат</w:t>
            </w:r>
          </w:p>
        </w:tc>
        <w:tc>
          <w:tcPr>
            <w:tcW w:w="497" w:type="dxa"/>
            <w:tcBorders>
              <w:top w:val="single" w:sz="4" w:space="0" w:color="auto"/>
              <w:left w:val="single" w:sz="4" w:space="0" w:color="auto"/>
              <w:bottom w:val="single" w:sz="4" w:space="0" w:color="auto"/>
              <w:right w:val="single" w:sz="4" w:space="0" w:color="auto"/>
            </w:tcBorders>
            <w:hideMark/>
          </w:tcPr>
          <w:p w14:paraId="4D83E4F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6</w:t>
            </w:r>
          </w:p>
        </w:tc>
        <w:tc>
          <w:tcPr>
            <w:tcW w:w="507" w:type="dxa"/>
            <w:tcBorders>
              <w:top w:val="single" w:sz="4" w:space="0" w:color="auto"/>
              <w:left w:val="single" w:sz="4" w:space="0" w:color="auto"/>
              <w:bottom w:val="single" w:sz="4" w:space="0" w:color="auto"/>
              <w:right w:val="single" w:sz="4" w:space="0" w:color="auto"/>
            </w:tcBorders>
            <w:hideMark/>
          </w:tcPr>
          <w:p w14:paraId="57F30BFA"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14:paraId="221F5D86"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853A025"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2B33635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6D76C76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00CCF9F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529D2A2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7266FC53"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73EADF81"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14:paraId="148D52AC"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14:paraId="0CA95F3D"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hideMark/>
          </w:tcPr>
          <w:p w14:paraId="58B756F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r w:rsidR="00302B1B" w:rsidRPr="00302B1B" w14:paraId="19126A18"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0ED7C93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Фосфорит ұны</w:t>
            </w:r>
          </w:p>
        </w:tc>
        <w:tc>
          <w:tcPr>
            <w:tcW w:w="497" w:type="dxa"/>
            <w:tcBorders>
              <w:top w:val="single" w:sz="4" w:space="0" w:color="auto"/>
              <w:left w:val="single" w:sz="4" w:space="0" w:color="auto"/>
              <w:bottom w:val="single" w:sz="4" w:space="0" w:color="auto"/>
              <w:right w:val="single" w:sz="4" w:space="0" w:color="auto"/>
            </w:tcBorders>
            <w:hideMark/>
          </w:tcPr>
          <w:p w14:paraId="074EFEDA"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7</w:t>
            </w:r>
          </w:p>
        </w:tc>
        <w:tc>
          <w:tcPr>
            <w:tcW w:w="507" w:type="dxa"/>
            <w:tcBorders>
              <w:top w:val="single" w:sz="4" w:space="0" w:color="auto"/>
              <w:left w:val="single" w:sz="4" w:space="0" w:color="auto"/>
              <w:bottom w:val="single" w:sz="4" w:space="0" w:color="auto"/>
              <w:right w:val="single" w:sz="4" w:space="0" w:color="auto"/>
            </w:tcBorders>
            <w:hideMark/>
          </w:tcPr>
          <w:p w14:paraId="7C93A9B0"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14:paraId="47E1C37E"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B158AAC"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4475B06A"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71FDBABB"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DF18B2D"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674FEE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71640802"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5942CFD"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408EADEB"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14:paraId="3CB2D934"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hideMark/>
          </w:tcPr>
          <w:p w14:paraId="344368A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r w:rsidR="00302B1B" w:rsidRPr="00302B1B" w14:paraId="6ACA6E13"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727CE0A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Преципитат</w:t>
            </w:r>
          </w:p>
        </w:tc>
        <w:tc>
          <w:tcPr>
            <w:tcW w:w="497" w:type="dxa"/>
            <w:tcBorders>
              <w:top w:val="single" w:sz="4" w:space="0" w:color="auto"/>
              <w:left w:val="single" w:sz="4" w:space="0" w:color="auto"/>
              <w:bottom w:val="single" w:sz="4" w:space="0" w:color="auto"/>
              <w:right w:val="single" w:sz="4" w:space="0" w:color="auto"/>
            </w:tcBorders>
            <w:hideMark/>
          </w:tcPr>
          <w:p w14:paraId="3BC2460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8</w:t>
            </w:r>
          </w:p>
        </w:tc>
        <w:tc>
          <w:tcPr>
            <w:tcW w:w="507" w:type="dxa"/>
            <w:tcBorders>
              <w:top w:val="single" w:sz="4" w:space="0" w:color="auto"/>
              <w:left w:val="single" w:sz="4" w:space="0" w:color="auto"/>
              <w:bottom w:val="single" w:sz="4" w:space="0" w:color="auto"/>
              <w:right w:val="single" w:sz="4" w:space="0" w:color="auto"/>
            </w:tcBorders>
            <w:hideMark/>
          </w:tcPr>
          <w:p w14:paraId="27051D3D"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7" w:type="dxa"/>
            <w:tcBorders>
              <w:top w:val="single" w:sz="4" w:space="0" w:color="auto"/>
              <w:left w:val="single" w:sz="4" w:space="0" w:color="auto"/>
              <w:bottom w:val="single" w:sz="4" w:space="0" w:color="auto"/>
              <w:right w:val="single" w:sz="4" w:space="0" w:color="auto"/>
            </w:tcBorders>
            <w:hideMark/>
          </w:tcPr>
          <w:p w14:paraId="0A3F6476"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CFDB84B"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C93DC4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7F76711F"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7DDEB0AA"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32C541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6A279E1"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122A74D3"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01D06C18"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tcPr>
          <w:p w14:paraId="33CF72FE"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tcPr>
          <w:p w14:paraId="387B3C7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064AB25D"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72EDC37D"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Фосфашлак</w:t>
            </w:r>
          </w:p>
        </w:tc>
        <w:tc>
          <w:tcPr>
            <w:tcW w:w="497" w:type="dxa"/>
            <w:tcBorders>
              <w:top w:val="single" w:sz="4" w:space="0" w:color="auto"/>
              <w:left w:val="single" w:sz="4" w:space="0" w:color="auto"/>
              <w:bottom w:val="single" w:sz="4" w:space="0" w:color="auto"/>
              <w:right w:val="single" w:sz="4" w:space="0" w:color="auto"/>
            </w:tcBorders>
            <w:hideMark/>
          </w:tcPr>
          <w:p w14:paraId="2671848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9</w:t>
            </w:r>
          </w:p>
        </w:tc>
        <w:tc>
          <w:tcPr>
            <w:tcW w:w="507" w:type="dxa"/>
            <w:tcBorders>
              <w:top w:val="single" w:sz="4" w:space="0" w:color="auto"/>
              <w:left w:val="single" w:sz="4" w:space="0" w:color="auto"/>
              <w:bottom w:val="single" w:sz="4" w:space="0" w:color="auto"/>
              <w:right w:val="single" w:sz="4" w:space="0" w:color="auto"/>
            </w:tcBorders>
          </w:tcPr>
          <w:p w14:paraId="6BF5FB18"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14:paraId="56AEAF91"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0692449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45E127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17F68518"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675CAFD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69D318A2"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264E1E8"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533B6011"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14:paraId="27E13D66"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06FD480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496" w:type="dxa"/>
            <w:tcBorders>
              <w:top w:val="single" w:sz="4" w:space="0" w:color="auto"/>
              <w:left w:val="single" w:sz="4" w:space="0" w:color="auto"/>
              <w:bottom w:val="single" w:sz="4" w:space="0" w:color="auto"/>
              <w:right w:val="single" w:sz="4" w:space="0" w:color="auto"/>
            </w:tcBorders>
          </w:tcPr>
          <w:p w14:paraId="3DBFE89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14366C66"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7AA9548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Калий тұзы мен хлорлы калий</w:t>
            </w:r>
          </w:p>
        </w:tc>
        <w:tc>
          <w:tcPr>
            <w:tcW w:w="497" w:type="dxa"/>
            <w:tcBorders>
              <w:top w:val="single" w:sz="4" w:space="0" w:color="auto"/>
              <w:left w:val="single" w:sz="4" w:space="0" w:color="auto"/>
              <w:bottom w:val="single" w:sz="4" w:space="0" w:color="auto"/>
              <w:right w:val="single" w:sz="4" w:space="0" w:color="auto"/>
            </w:tcBorders>
            <w:hideMark/>
          </w:tcPr>
          <w:p w14:paraId="4D1CA87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10</w:t>
            </w:r>
          </w:p>
        </w:tc>
        <w:tc>
          <w:tcPr>
            <w:tcW w:w="507" w:type="dxa"/>
            <w:tcBorders>
              <w:top w:val="single" w:sz="4" w:space="0" w:color="auto"/>
              <w:left w:val="single" w:sz="4" w:space="0" w:color="auto"/>
              <w:bottom w:val="single" w:sz="4" w:space="0" w:color="auto"/>
              <w:right w:val="single" w:sz="4" w:space="0" w:color="auto"/>
            </w:tcBorders>
            <w:hideMark/>
          </w:tcPr>
          <w:p w14:paraId="5F77CCF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7" w:type="dxa"/>
            <w:tcBorders>
              <w:top w:val="single" w:sz="4" w:space="0" w:color="auto"/>
              <w:left w:val="single" w:sz="4" w:space="0" w:color="auto"/>
              <w:bottom w:val="single" w:sz="4" w:space="0" w:color="auto"/>
              <w:right w:val="single" w:sz="4" w:space="0" w:color="auto"/>
            </w:tcBorders>
            <w:hideMark/>
          </w:tcPr>
          <w:p w14:paraId="11FE5973"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5BA5C1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96B5A29"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666EAA23"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E81F95A"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1B47B61B"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921FD6E"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180433B7"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7440A348"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14:paraId="6EC4FD03"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496" w:type="dxa"/>
            <w:tcBorders>
              <w:top w:val="single" w:sz="4" w:space="0" w:color="auto"/>
              <w:left w:val="single" w:sz="4" w:space="0" w:color="auto"/>
              <w:bottom w:val="single" w:sz="4" w:space="0" w:color="auto"/>
              <w:right w:val="single" w:sz="4" w:space="0" w:color="auto"/>
            </w:tcBorders>
            <w:hideMark/>
          </w:tcPr>
          <w:p w14:paraId="162B3FAC"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r w:rsidR="00302B1B" w:rsidRPr="00302B1B" w14:paraId="53BE2FA9"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06E94067"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Әк, күл</w:t>
            </w:r>
          </w:p>
        </w:tc>
        <w:tc>
          <w:tcPr>
            <w:tcW w:w="497" w:type="dxa"/>
            <w:tcBorders>
              <w:top w:val="single" w:sz="4" w:space="0" w:color="auto"/>
              <w:left w:val="single" w:sz="4" w:space="0" w:color="auto"/>
              <w:bottom w:val="single" w:sz="4" w:space="0" w:color="auto"/>
              <w:right w:val="single" w:sz="4" w:space="0" w:color="auto"/>
            </w:tcBorders>
            <w:hideMark/>
          </w:tcPr>
          <w:p w14:paraId="3D585D8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11</w:t>
            </w:r>
          </w:p>
        </w:tc>
        <w:tc>
          <w:tcPr>
            <w:tcW w:w="507" w:type="dxa"/>
            <w:tcBorders>
              <w:top w:val="single" w:sz="4" w:space="0" w:color="auto"/>
              <w:left w:val="single" w:sz="4" w:space="0" w:color="auto"/>
              <w:bottom w:val="single" w:sz="4" w:space="0" w:color="auto"/>
              <w:right w:val="single" w:sz="4" w:space="0" w:color="auto"/>
            </w:tcBorders>
          </w:tcPr>
          <w:p w14:paraId="0207C62E"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14:paraId="7F4A7B8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67728379"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2F2AB32B"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142835EA"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tcPr>
          <w:p w14:paraId="65A91BC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14:paraId="239CD12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14:paraId="5211AAA6"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0ACC9373"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hideMark/>
          </w:tcPr>
          <w:p w14:paraId="654160E4"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32" w:type="dxa"/>
            <w:tcBorders>
              <w:top w:val="single" w:sz="4" w:space="0" w:color="auto"/>
              <w:left w:val="single" w:sz="4" w:space="0" w:color="auto"/>
              <w:bottom w:val="single" w:sz="4" w:space="0" w:color="auto"/>
              <w:right w:val="single" w:sz="4" w:space="0" w:color="auto"/>
            </w:tcBorders>
            <w:hideMark/>
          </w:tcPr>
          <w:p w14:paraId="182EFAEC"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496" w:type="dxa"/>
            <w:tcBorders>
              <w:top w:val="single" w:sz="4" w:space="0" w:color="auto"/>
              <w:left w:val="single" w:sz="4" w:space="0" w:color="auto"/>
              <w:bottom w:val="single" w:sz="4" w:space="0" w:color="auto"/>
              <w:right w:val="single" w:sz="4" w:space="0" w:color="auto"/>
            </w:tcBorders>
          </w:tcPr>
          <w:p w14:paraId="5D5CFF6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r>
      <w:tr w:rsidR="00302B1B" w:rsidRPr="00302B1B" w14:paraId="5B7D62C9" w14:textId="77777777" w:rsidTr="005A6183">
        <w:tc>
          <w:tcPr>
            <w:tcW w:w="2957" w:type="dxa"/>
            <w:tcBorders>
              <w:top w:val="single" w:sz="4" w:space="0" w:color="auto"/>
              <w:left w:val="single" w:sz="4" w:space="0" w:color="auto"/>
              <w:bottom w:val="single" w:sz="4" w:space="0" w:color="auto"/>
              <w:right w:val="single" w:sz="4" w:space="0" w:color="auto"/>
            </w:tcBorders>
            <w:hideMark/>
          </w:tcPr>
          <w:p w14:paraId="4237572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Қаз, құс саңғырығы</w:t>
            </w:r>
          </w:p>
        </w:tc>
        <w:tc>
          <w:tcPr>
            <w:tcW w:w="497" w:type="dxa"/>
            <w:tcBorders>
              <w:top w:val="single" w:sz="4" w:space="0" w:color="auto"/>
              <w:left w:val="single" w:sz="4" w:space="0" w:color="auto"/>
              <w:bottom w:val="single" w:sz="4" w:space="0" w:color="auto"/>
              <w:right w:val="single" w:sz="4" w:space="0" w:color="auto"/>
            </w:tcBorders>
            <w:hideMark/>
          </w:tcPr>
          <w:p w14:paraId="6017A7E5"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12</w:t>
            </w:r>
          </w:p>
        </w:tc>
        <w:tc>
          <w:tcPr>
            <w:tcW w:w="507" w:type="dxa"/>
            <w:tcBorders>
              <w:top w:val="single" w:sz="4" w:space="0" w:color="auto"/>
              <w:left w:val="single" w:sz="4" w:space="0" w:color="auto"/>
              <w:bottom w:val="single" w:sz="4" w:space="0" w:color="auto"/>
              <w:right w:val="single" w:sz="4" w:space="0" w:color="auto"/>
            </w:tcBorders>
          </w:tcPr>
          <w:p w14:paraId="0690DA88"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7" w:type="dxa"/>
            <w:tcBorders>
              <w:top w:val="single" w:sz="4" w:space="0" w:color="auto"/>
              <w:left w:val="single" w:sz="4" w:space="0" w:color="auto"/>
              <w:bottom w:val="single" w:sz="4" w:space="0" w:color="auto"/>
              <w:right w:val="single" w:sz="4" w:space="0" w:color="auto"/>
            </w:tcBorders>
          </w:tcPr>
          <w:p w14:paraId="7E1C3AD1"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14:paraId="1C095299"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14:paraId="2CB2760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hideMark/>
          </w:tcPr>
          <w:p w14:paraId="55659D3D" w14:textId="77777777" w:rsidR="00302B1B" w:rsidRPr="00302B1B" w:rsidRDefault="00302B1B" w:rsidP="005A6183">
            <w:pPr>
              <w:spacing w:after="0" w:line="240" w:lineRule="auto"/>
              <w:jc w:val="both"/>
              <w:rPr>
                <w:rFonts w:ascii="Times New Roman" w:hAnsi="Times New Roman"/>
                <w:i w:val="0"/>
                <w:color w:val="000000" w:themeColor="text1"/>
                <w:sz w:val="28"/>
                <w:szCs w:val="28"/>
              </w:rPr>
            </w:pPr>
            <w:r w:rsidRPr="00302B1B">
              <w:rPr>
                <w:rFonts w:ascii="Times New Roman" w:hAnsi="Times New Roman"/>
                <w:i w:val="0"/>
                <w:color w:val="000000" w:themeColor="text1"/>
                <w:sz w:val="28"/>
                <w:szCs w:val="28"/>
              </w:rPr>
              <w:t>*</w:t>
            </w:r>
          </w:p>
        </w:tc>
        <w:tc>
          <w:tcPr>
            <w:tcW w:w="506" w:type="dxa"/>
            <w:tcBorders>
              <w:top w:val="single" w:sz="4" w:space="0" w:color="auto"/>
              <w:left w:val="single" w:sz="4" w:space="0" w:color="auto"/>
              <w:bottom w:val="single" w:sz="4" w:space="0" w:color="auto"/>
              <w:right w:val="single" w:sz="4" w:space="0" w:color="auto"/>
            </w:tcBorders>
            <w:hideMark/>
          </w:tcPr>
          <w:p w14:paraId="364E12B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hideMark/>
          </w:tcPr>
          <w:p w14:paraId="6C2FC87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06" w:type="dxa"/>
            <w:tcBorders>
              <w:top w:val="single" w:sz="4" w:space="0" w:color="auto"/>
              <w:left w:val="single" w:sz="4" w:space="0" w:color="auto"/>
              <w:bottom w:val="single" w:sz="4" w:space="0" w:color="auto"/>
              <w:right w:val="single" w:sz="4" w:space="0" w:color="auto"/>
            </w:tcBorders>
          </w:tcPr>
          <w:p w14:paraId="002B92D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06" w:type="dxa"/>
            <w:tcBorders>
              <w:top w:val="single" w:sz="4" w:space="0" w:color="auto"/>
              <w:left w:val="single" w:sz="4" w:space="0" w:color="auto"/>
              <w:bottom w:val="single" w:sz="4" w:space="0" w:color="auto"/>
              <w:right w:val="single" w:sz="4" w:space="0" w:color="auto"/>
            </w:tcBorders>
          </w:tcPr>
          <w:p w14:paraId="22AC3E4F"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532" w:type="dxa"/>
            <w:tcBorders>
              <w:top w:val="single" w:sz="4" w:space="0" w:color="auto"/>
              <w:left w:val="single" w:sz="4" w:space="0" w:color="auto"/>
              <w:bottom w:val="single" w:sz="4" w:space="0" w:color="auto"/>
              <w:right w:val="single" w:sz="4" w:space="0" w:color="auto"/>
            </w:tcBorders>
            <w:hideMark/>
          </w:tcPr>
          <w:p w14:paraId="44DF2322"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c>
          <w:tcPr>
            <w:tcW w:w="532" w:type="dxa"/>
            <w:tcBorders>
              <w:top w:val="single" w:sz="4" w:space="0" w:color="auto"/>
              <w:left w:val="single" w:sz="4" w:space="0" w:color="auto"/>
              <w:bottom w:val="single" w:sz="4" w:space="0" w:color="auto"/>
              <w:right w:val="single" w:sz="4" w:space="0" w:color="auto"/>
            </w:tcBorders>
          </w:tcPr>
          <w:p w14:paraId="3F53ADB0"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p>
        </w:tc>
        <w:tc>
          <w:tcPr>
            <w:tcW w:w="496" w:type="dxa"/>
            <w:tcBorders>
              <w:top w:val="single" w:sz="4" w:space="0" w:color="auto"/>
              <w:left w:val="single" w:sz="4" w:space="0" w:color="auto"/>
              <w:bottom w:val="single" w:sz="4" w:space="0" w:color="auto"/>
              <w:right w:val="single" w:sz="4" w:space="0" w:color="auto"/>
            </w:tcBorders>
            <w:hideMark/>
          </w:tcPr>
          <w:p w14:paraId="083B06B8" w14:textId="77777777" w:rsidR="00302B1B" w:rsidRPr="00302B1B" w:rsidRDefault="00302B1B" w:rsidP="005A6183">
            <w:p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w:t>
            </w:r>
          </w:p>
        </w:tc>
      </w:tr>
    </w:tbl>
    <w:p w14:paraId="74439DB8"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p>
    <w:p w14:paraId="6106A0D7"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Ескерту:  ▓</w:t>
      </w:r>
      <w:r w:rsidRPr="00302B1B">
        <w:rPr>
          <w:rFonts w:ascii="Times New Roman" w:hAnsi="Times New Roman"/>
          <w:i w:val="0"/>
          <w:color w:val="000000" w:themeColor="text1"/>
          <w:sz w:val="28"/>
          <w:szCs w:val="28"/>
        </w:rPr>
        <w:t xml:space="preserve">- </w:t>
      </w:r>
      <w:r w:rsidRPr="00302B1B">
        <w:rPr>
          <w:rFonts w:ascii="Times New Roman" w:hAnsi="Times New Roman"/>
          <w:i w:val="0"/>
          <w:color w:val="000000" w:themeColor="text1"/>
          <w:sz w:val="28"/>
          <w:szCs w:val="28"/>
          <w:lang w:val="kk-KZ"/>
        </w:rPr>
        <w:t>бір-бірімен араластыруға болады</w:t>
      </w:r>
    </w:p>
    <w:p w14:paraId="565541D4" w14:textId="77777777" w:rsidR="00302B1B" w:rsidRPr="00302B1B" w:rsidRDefault="00000000" w:rsidP="00302B1B">
      <w:pPr>
        <w:spacing w:after="0" w:line="240" w:lineRule="auto"/>
        <w:ind w:firstLine="426"/>
        <w:jc w:val="both"/>
        <w:rPr>
          <w:rFonts w:ascii="Times New Roman" w:hAnsi="Times New Roman"/>
          <w:i w:val="0"/>
          <w:color w:val="000000" w:themeColor="text1"/>
          <w:sz w:val="28"/>
          <w:szCs w:val="28"/>
          <w:lang w:val="kk-KZ"/>
        </w:rPr>
      </w:pPr>
      <w:r>
        <w:rPr>
          <w:rFonts w:ascii="Times New Roman" w:hAnsi="Times New Roman"/>
          <w:i w:val="0"/>
          <w:color w:val="000000" w:themeColor="text1"/>
          <w:sz w:val="28"/>
          <w:szCs w:val="28"/>
        </w:rPr>
        <w:pict w14:anchorId="03B1881A">
          <v:rect id="_x0000_s1026" style="position:absolute;left:0;text-align:left;margin-left:76.95pt;margin-top:13.55pt;width:13.05pt;height:18.05pt;flip:y;z-index:251660288"/>
        </w:pict>
      </w:r>
      <w:r w:rsidR="00302B1B" w:rsidRPr="00302B1B">
        <w:rPr>
          <w:rFonts w:ascii="Times New Roman" w:hAnsi="Times New Roman"/>
          <w:i w:val="0"/>
          <w:color w:val="000000" w:themeColor="text1"/>
          <w:sz w:val="28"/>
          <w:szCs w:val="28"/>
          <w:lang w:val="kk-KZ"/>
        </w:rPr>
        <w:t xml:space="preserve">                 *-  топыраққа еңгізер алдында араластыруға болады</w:t>
      </w:r>
    </w:p>
    <w:p w14:paraId="1FCB472C"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                    - бір-бірімен араластыруға болмайды</w:t>
      </w:r>
    </w:p>
    <w:p w14:paraId="54761EB4"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p>
    <w:p w14:paraId="5284B050" w14:textId="77777777" w:rsidR="00302B1B" w:rsidRPr="009F5737" w:rsidRDefault="00302B1B" w:rsidP="00302B1B">
      <w:pPr>
        <w:spacing w:after="0" w:line="240" w:lineRule="auto"/>
        <w:ind w:firstLine="426"/>
        <w:jc w:val="center"/>
        <w:rPr>
          <w:rFonts w:ascii="Times New Roman" w:hAnsi="Times New Roman"/>
          <w:i w:val="0"/>
          <w:color w:val="170DE9"/>
          <w:sz w:val="28"/>
          <w:szCs w:val="28"/>
          <w:lang w:val="kk-KZ"/>
        </w:rPr>
      </w:pPr>
      <w:r w:rsidRPr="009F5737">
        <w:rPr>
          <w:rFonts w:ascii="Times New Roman" w:hAnsi="Times New Roman"/>
          <w:i w:val="0"/>
          <w:color w:val="170DE9"/>
          <w:sz w:val="28"/>
          <w:szCs w:val="28"/>
          <w:lang w:val="kk-KZ"/>
        </w:rPr>
        <w:t>Минералдық тыңайтқыштарды қолдану</w:t>
      </w:r>
    </w:p>
    <w:p w14:paraId="0A80EE6F" w14:textId="77777777" w:rsidR="009F5737" w:rsidRPr="00302B1B" w:rsidRDefault="009F5737" w:rsidP="00302B1B">
      <w:pPr>
        <w:spacing w:after="0" w:line="240" w:lineRule="auto"/>
        <w:ind w:firstLine="426"/>
        <w:jc w:val="center"/>
        <w:rPr>
          <w:rFonts w:ascii="Times New Roman" w:hAnsi="Times New Roman"/>
          <w:i w:val="0"/>
          <w:color w:val="000000" w:themeColor="text1"/>
          <w:sz w:val="28"/>
          <w:szCs w:val="28"/>
          <w:lang w:val="kk-KZ"/>
        </w:rPr>
      </w:pPr>
    </w:p>
    <w:p w14:paraId="476CCD7F" w14:textId="77777777" w:rsidR="00302B1B" w:rsidRPr="00302B1B" w:rsidRDefault="00302B1B" w:rsidP="00302B1B">
      <w:pPr>
        <w:spacing w:after="0" w:line="240" w:lineRule="auto"/>
        <w:ind w:left="-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Шаруашылықтар егістік дақылдарына қажет тыңайтқыштарды тиімді пайдалану үшін келесі шарттар орындалу керек:</w:t>
      </w:r>
    </w:p>
    <w:p w14:paraId="34145236" w14:textId="77777777"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егістік жердің агрохимиялық картограммасына сүйене отырып, қандай  тыңайтқыш және қанша мөлшерде қажет екенін анықтау;</w:t>
      </w:r>
    </w:p>
    <w:p w14:paraId="0AA2A9A0" w14:textId="77777777"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 қолданудың тиімді әдістерін және қолайлы мерзімдерін белгілеу;</w:t>
      </w:r>
    </w:p>
    <w:p w14:paraId="1D5227F5" w14:textId="77777777"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берілетін тыңайтқыштарды басқа агротехникалық шаралармен үйлестіре білу;</w:t>
      </w:r>
    </w:p>
    <w:p w14:paraId="73D3AAC2" w14:textId="77777777" w:rsidR="00302B1B" w:rsidRPr="00302B1B" w:rsidRDefault="00302B1B" w:rsidP="00302B1B">
      <w:pPr>
        <w:numPr>
          <w:ilvl w:val="0"/>
          <w:numId w:val="1"/>
        </w:numPr>
        <w:spacing w:after="0" w:line="240" w:lineRule="auto"/>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 тиімді пайдалану үшін тыңайтқыштардың әсерінен мол өнім беретін дақылдар таңдап егу.</w:t>
      </w:r>
    </w:p>
    <w:p w14:paraId="1A4ABCA1" w14:textId="77777777" w:rsidR="00302B1B" w:rsidRPr="00302B1B" w:rsidRDefault="00302B1B" w:rsidP="00302B1B">
      <w:pPr>
        <w:tabs>
          <w:tab w:val="left" w:pos="0"/>
        </w:tabs>
        <w:spacing w:after="0" w:line="240" w:lineRule="auto"/>
        <w:ind w:left="-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Егістікке берілетін тыңайтқыштар мөлшері топырақ түріне, дақылдың биологиялық ерекшеліктеріне және тағы басқа да жағдайларға байланысты әртүрлі. Жалпылай алатын болсақ, олардың мөлшері дәнді дақылдардың әр гектарына N- 30-</w:t>
      </w:r>
      <w:smartTag w:uri="urn:schemas-microsoft-com:office:smarttags" w:element="metricconverter">
        <w:smartTagPr>
          <w:attr w:name="ProductID" w:val="100 кг"/>
        </w:smartTagPr>
        <w:r w:rsidRPr="00302B1B">
          <w:rPr>
            <w:rFonts w:ascii="Times New Roman" w:hAnsi="Times New Roman"/>
            <w:i w:val="0"/>
            <w:color w:val="000000" w:themeColor="text1"/>
            <w:sz w:val="28"/>
            <w:szCs w:val="28"/>
            <w:lang w:val="kk-KZ"/>
          </w:rPr>
          <w:t>100 кг</w:t>
        </w:r>
      </w:smartTag>
      <w:r w:rsidRPr="00302B1B">
        <w:rPr>
          <w:rFonts w:ascii="Times New Roman" w:hAnsi="Times New Roman"/>
          <w:i w:val="0"/>
          <w:color w:val="000000" w:themeColor="text1"/>
          <w:sz w:val="28"/>
          <w:szCs w:val="28"/>
          <w:lang w:val="kk-KZ"/>
        </w:rPr>
        <w:t>, P</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O</w:t>
      </w:r>
      <w:r w:rsidRPr="00302B1B">
        <w:rPr>
          <w:rFonts w:ascii="Times New Roman" w:hAnsi="Times New Roman"/>
          <w:i w:val="0"/>
          <w:color w:val="000000" w:themeColor="text1"/>
          <w:sz w:val="28"/>
          <w:szCs w:val="28"/>
          <w:vertAlign w:val="subscript"/>
          <w:lang w:val="kk-KZ"/>
        </w:rPr>
        <w:t>5</w:t>
      </w:r>
      <w:r w:rsidRPr="00302B1B">
        <w:rPr>
          <w:rFonts w:ascii="Times New Roman" w:hAnsi="Times New Roman"/>
          <w:i w:val="0"/>
          <w:color w:val="000000" w:themeColor="text1"/>
          <w:sz w:val="28"/>
          <w:szCs w:val="28"/>
          <w:lang w:val="kk-KZ"/>
        </w:rPr>
        <w:t>- 30-</w:t>
      </w:r>
      <w:smartTag w:uri="urn:schemas-microsoft-com:office:smarttags" w:element="metricconverter">
        <w:smartTagPr>
          <w:attr w:name="ProductID" w:val="60 кг"/>
        </w:smartTagPr>
        <w:r w:rsidRPr="00302B1B">
          <w:rPr>
            <w:rFonts w:ascii="Times New Roman" w:hAnsi="Times New Roman"/>
            <w:i w:val="0"/>
            <w:color w:val="000000" w:themeColor="text1"/>
            <w:sz w:val="28"/>
            <w:szCs w:val="28"/>
            <w:lang w:val="kk-KZ"/>
          </w:rPr>
          <w:t>60 кг</w:t>
        </w:r>
      </w:smartTag>
      <w:r w:rsidRPr="00302B1B">
        <w:rPr>
          <w:rFonts w:ascii="Times New Roman" w:hAnsi="Times New Roman"/>
          <w:i w:val="0"/>
          <w:color w:val="000000" w:themeColor="text1"/>
          <w:sz w:val="28"/>
          <w:szCs w:val="28"/>
          <w:lang w:val="kk-KZ"/>
        </w:rPr>
        <w:t>, K</w:t>
      </w:r>
      <w:r w:rsidRPr="00302B1B">
        <w:rPr>
          <w:rFonts w:ascii="Times New Roman" w:hAnsi="Times New Roman"/>
          <w:i w:val="0"/>
          <w:color w:val="000000" w:themeColor="text1"/>
          <w:sz w:val="28"/>
          <w:szCs w:val="28"/>
          <w:vertAlign w:val="subscript"/>
          <w:lang w:val="kk-KZ"/>
        </w:rPr>
        <w:t>2</w:t>
      </w:r>
      <w:r w:rsidRPr="00302B1B">
        <w:rPr>
          <w:rFonts w:ascii="Times New Roman" w:hAnsi="Times New Roman"/>
          <w:i w:val="0"/>
          <w:color w:val="000000" w:themeColor="text1"/>
          <w:sz w:val="28"/>
          <w:szCs w:val="28"/>
          <w:lang w:val="kk-KZ"/>
        </w:rPr>
        <w:t>O-  45-</w:t>
      </w:r>
      <w:smartTag w:uri="urn:schemas-microsoft-com:office:smarttags" w:element="metricconverter">
        <w:smartTagPr>
          <w:attr w:name="ProductID" w:val="90 кг"/>
        </w:smartTagPr>
        <w:r w:rsidRPr="00302B1B">
          <w:rPr>
            <w:rFonts w:ascii="Times New Roman" w:hAnsi="Times New Roman"/>
            <w:i w:val="0"/>
            <w:color w:val="000000" w:themeColor="text1"/>
            <w:sz w:val="28"/>
            <w:szCs w:val="28"/>
            <w:lang w:val="kk-KZ"/>
          </w:rPr>
          <w:t>90 кг</w:t>
        </w:r>
      </w:smartTag>
      <w:r w:rsidRPr="00302B1B">
        <w:rPr>
          <w:rFonts w:ascii="Times New Roman" w:hAnsi="Times New Roman"/>
          <w:i w:val="0"/>
          <w:color w:val="000000" w:themeColor="text1"/>
          <w:sz w:val="28"/>
          <w:szCs w:val="28"/>
          <w:lang w:val="kk-KZ"/>
        </w:rPr>
        <w:t xml:space="preserve"> әсер ететін зат есебіне, ал техникалық дакылдардың әр гектарына одан да көп мөлшерде минералдық тыңайтқыштар қолданылады. </w:t>
      </w:r>
    </w:p>
    <w:p w14:paraId="4033328C" w14:textId="77777777" w:rsidR="00302B1B" w:rsidRPr="00302B1B" w:rsidRDefault="00302B1B" w:rsidP="00302B1B">
      <w:pPr>
        <w:tabs>
          <w:tab w:val="left" w:pos="0"/>
        </w:tabs>
        <w:spacing w:after="0" w:line="240" w:lineRule="auto"/>
        <w:ind w:left="-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lastRenderedPageBreak/>
        <w:t>Тыңайтқыштарды егістік дақылдары үшін жерді жырту, қопсыту, тырмалау кездерінде жаппай шашып және катараралықтар мен ұялар түбіне топыраққа араластырып береді. Олардың ішінде ұяларға қолданған тыңайтқыштар көп үнемделеді және дақылдар да оларды тиімді пайдаланады.</w:t>
      </w:r>
    </w:p>
    <w:p w14:paraId="0726F855" w14:textId="77777777" w:rsidR="00302B1B" w:rsidRPr="00302B1B" w:rsidRDefault="00302B1B" w:rsidP="00302B1B">
      <w:pPr>
        <w:tabs>
          <w:tab w:val="left" w:pos="0"/>
        </w:tabs>
        <w:spacing w:after="0" w:line="240" w:lineRule="auto"/>
        <w:ind w:left="-142" w:hanging="142"/>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xml:space="preserve"> Тыңайтқыштарды арнайы тыңайтқыш сепкіштер мен тұқым сепкіш механизмдер арқылы топыраққа енгізеді: РТТ-42, РУМ-5, РУМ-8 және СНТ-2,8. Оларды ұшақ (АН-2) арқылы да егістік жерлерге қолдануға болады.</w:t>
      </w:r>
    </w:p>
    <w:p w14:paraId="7D1195B0" w14:textId="77777777" w:rsidR="00302B1B" w:rsidRPr="00302B1B" w:rsidRDefault="00302B1B" w:rsidP="00302B1B">
      <w:pPr>
        <w:spacing w:after="0" w:line="240" w:lineRule="auto"/>
        <w:ind w:left="-142" w:firstLine="850"/>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Дақылдарға арналған тыңайтқыштар, негізінен келесі кезеңдерде қолданылады:</w:t>
      </w:r>
    </w:p>
    <w:p w14:paraId="26A885B6" w14:textId="77777777" w:rsidR="00302B1B" w:rsidRPr="00302B1B" w:rsidRDefault="00302B1B" w:rsidP="00302B1B">
      <w:pPr>
        <w:tabs>
          <w:tab w:val="left" w:pos="0"/>
        </w:tabs>
        <w:spacing w:after="0" w:line="240" w:lineRule="auto"/>
        <w:ind w:left="426" w:hanging="568"/>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күзде, сүдігер жыртуда;</w:t>
      </w:r>
    </w:p>
    <w:p w14:paraId="2A1E6BDD" w14:textId="77777777" w:rsidR="00302B1B" w:rsidRPr="00302B1B" w:rsidRDefault="00302B1B" w:rsidP="00302B1B">
      <w:pPr>
        <w:tabs>
          <w:tab w:val="left" w:pos="0"/>
        </w:tabs>
        <w:spacing w:after="0" w:line="240" w:lineRule="auto"/>
        <w:ind w:left="426" w:hanging="568"/>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көктемде, топырақ өңдеу немесе тұқым себумен бірге;</w:t>
      </w:r>
    </w:p>
    <w:p w14:paraId="6C1CC178" w14:textId="77777777" w:rsidR="00302B1B" w:rsidRPr="00302B1B" w:rsidRDefault="00302B1B" w:rsidP="00302B1B">
      <w:pPr>
        <w:spacing w:after="0" w:line="240" w:lineRule="auto"/>
        <w:ind w:left="426" w:hanging="568"/>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 вегетация кезінде, үстеп қоректендіруде.</w:t>
      </w:r>
    </w:p>
    <w:p w14:paraId="2636FDAD" w14:textId="77777777" w:rsidR="00302B1B" w:rsidRPr="00302B1B" w:rsidRDefault="00302B1B" w:rsidP="00302B1B">
      <w:pPr>
        <w:tabs>
          <w:tab w:val="left" w:pos="0"/>
        </w:tabs>
        <w:spacing w:after="0" w:line="240" w:lineRule="auto"/>
        <w:ind w:left="-142" w:firstLine="850"/>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Егістікке тыңайтқыштар барынша тиімді болу үшін дақылдардың биологиялық ерекшеліктерін ғана ескеріп қоймай, тыңайтқыштар енгізудің әдістерін, оның түрлері мен қасиеттерін ескерген жөн. Түрлі дақылдар өнімімен азот, фосфор және калий элементтерінің шамамен шығуы 11 кестеде көрсетілген (қосымшада)</w:t>
      </w:r>
    </w:p>
    <w:p w14:paraId="26AE8AAD" w14:textId="77777777" w:rsidR="00302B1B" w:rsidRPr="00302B1B" w:rsidRDefault="00302B1B" w:rsidP="00302B1B">
      <w:pPr>
        <w:spacing w:after="0" w:line="240" w:lineRule="auto"/>
        <w:ind w:left="426" w:firstLine="282"/>
        <w:jc w:val="both"/>
        <w:rPr>
          <w:rFonts w:ascii="Times New Roman" w:hAnsi="Times New Roman"/>
          <w:i w:val="0"/>
          <w:color w:val="000000" w:themeColor="text1"/>
          <w:sz w:val="28"/>
          <w:szCs w:val="28"/>
          <w:lang w:val="kk-KZ"/>
        </w:rPr>
      </w:pPr>
    </w:p>
    <w:p w14:paraId="110AC480" w14:textId="77777777" w:rsidR="00302B1B" w:rsidRPr="00E128D2" w:rsidRDefault="00302B1B" w:rsidP="00302B1B">
      <w:pPr>
        <w:spacing w:after="0" w:line="240" w:lineRule="auto"/>
        <w:ind w:firstLine="426"/>
        <w:jc w:val="center"/>
        <w:rPr>
          <w:rFonts w:ascii="Times New Roman" w:hAnsi="Times New Roman"/>
          <w:b/>
          <w:i w:val="0"/>
          <w:color w:val="170DE9"/>
          <w:sz w:val="28"/>
          <w:szCs w:val="28"/>
          <w:lang w:val="kk-KZ"/>
        </w:rPr>
      </w:pPr>
      <w:r w:rsidRPr="00E128D2">
        <w:rPr>
          <w:rFonts w:ascii="Times New Roman" w:hAnsi="Times New Roman"/>
          <w:b/>
          <w:i w:val="0"/>
          <w:color w:val="170DE9"/>
          <w:sz w:val="28"/>
          <w:szCs w:val="28"/>
          <w:lang w:val="kk-KZ"/>
        </w:rPr>
        <w:t>Минералдық тыңайтқыштарды сақтау</w:t>
      </w:r>
    </w:p>
    <w:p w14:paraId="65211812" w14:textId="77777777" w:rsidR="00302B1B" w:rsidRPr="00302B1B" w:rsidRDefault="00302B1B" w:rsidP="00302B1B">
      <w:pPr>
        <w:spacing w:after="0" w:line="240" w:lineRule="auto"/>
        <w:ind w:firstLine="426"/>
        <w:jc w:val="center"/>
        <w:rPr>
          <w:rFonts w:ascii="Times New Roman" w:hAnsi="Times New Roman"/>
          <w:b/>
          <w:i w:val="0"/>
          <w:color w:val="000000" w:themeColor="text1"/>
          <w:sz w:val="28"/>
          <w:szCs w:val="28"/>
          <w:lang w:val="kk-KZ"/>
        </w:rPr>
      </w:pPr>
    </w:p>
    <w:p w14:paraId="41A565DF"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тыңайтқыштарды сақтау мен тасымалдау және әзірлеу жұмыстарын дұрыс ұйымдастыру, олардың құрамындағы қоректік заттардың ысырап болуын төмендетеді және тиімділігін арттырады.</w:t>
      </w:r>
    </w:p>
    <w:p w14:paraId="0141F51B"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тыңайтқыштардың барлығы да арнайы жабдықталған, іші құрғақ, қабырғасы қалың, едені мен төбесі бүтін, терезелері мен есіктері жақсы жабылатын қоймаларда сақталады. Тыңайтқыш қоймасы тұрғын үйлер мен шаруашылық құрылыстарынан аулағырақ (</w:t>
      </w:r>
      <w:smartTag w:uri="urn:schemas-microsoft-com:office:smarttags" w:element="metricconverter">
        <w:smartTagPr>
          <w:attr w:name="ProductID" w:val="200 м"/>
        </w:smartTagPr>
        <w:r w:rsidRPr="00302B1B">
          <w:rPr>
            <w:rFonts w:ascii="Times New Roman" w:hAnsi="Times New Roman"/>
            <w:i w:val="0"/>
            <w:color w:val="000000" w:themeColor="text1"/>
            <w:sz w:val="28"/>
            <w:szCs w:val="28"/>
            <w:lang w:val="kk-KZ"/>
          </w:rPr>
          <w:t>200 м</w:t>
        </w:r>
      </w:smartTag>
      <w:r w:rsidRPr="00302B1B">
        <w:rPr>
          <w:rFonts w:ascii="Times New Roman" w:hAnsi="Times New Roman"/>
          <w:i w:val="0"/>
          <w:color w:val="000000" w:themeColor="text1"/>
          <w:sz w:val="28"/>
          <w:szCs w:val="28"/>
          <w:lang w:val="kk-KZ"/>
        </w:rPr>
        <w:t>) жерде салынады. Қойманың едені су өтпейтін және тыңайтқышты топырақ ылғалынан сақтай алатын болуы керек.</w:t>
      </w:r>
    </w:p>
    <w:p w14:paraId="5A64BF29"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 сақталатын қойманы салған кезде, ең алдымен оның көлемі қандай болатынын аңықтаған жөн. Ол үшін 1 т минералдық тыңайтқыш қанша орын алатын білген дұрыс. Шамамен алғанда 1 т тыңайтқыш 1,25 текше метр орын алады деп есептеуге болады. 60 т және одан да көп тыңайтқыш сиятын қойманың автокөлік еркін кіріп шығатын, екі жағынан ашылатын үлкен есігі болуы қажет. Қойманың айналасын қар мен жаңбыр суы ағып кететіндей етіп дөңестеп жасайды.</w:t>
      </w:r>
    </w:p>
    <w:p w14:paraId="66066421"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Тыңайтқыштың әрбір түрі өз алдына бөлек сақталады. Ол үшін қойманың ішгі бірнеше бөліктерге (секция) бөлініп, әр бөлік қоршаланады. Қойманың ішінде тыңайтқышты топыраққа енгізуге әзірлейтін- ұнтақтайтын, елейтін және араластыратын орын (бөлме) болуы тиіс. Қоймаға түскен ылғалдылығы жоғары тыңайтқыштар бөлек сақталады.</w:t>
      </w:r>
    </w:p>
    <w:p w14:paraId="1E3C424C"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 ауыл шаруашылығы машиналармен бір қоймада сақтауға болмайды, өйткені олардың металл бөлшектері коррозияға ұшырауы мүмкін.</w:t>
      </w:r>
    </w:p>
    <w:p w14:paraId="08C81E34"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Қоймада өрттен қорғау құралдары болып, оның іші мен сыртында тазалық және тәртіп сақталуы қажет.</w:t>
      </w:r>
    </w:p>
    <w:p w14:paraId="003B5409"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lastRenderedPageBreak/>
        <w:t>Сақтау кезінде тыңайтқыштардың күйін бақылап тұрған жөн. Ашық және жылы күндері қойманың есік-терезесін ашып, ішін желдетіп, даладан жылы ауа кіргізіп тұрған дұрыс. Ал ылғалды күндері керісінше, қойманың есігі мен терезесін жауып қою керек.</w:t>
      </w:r>
    </w:p>
    <w:p w14:paraId="7F139803"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Тыңайтқыштың әрбір түрі орамының сыртында оның аты, құрамындағы қоректік заттардың мөлшері мен ылғалдылығы көрсетілген жазу болуы тиіс.</w:t>
      </w:r>
    </w:p>
    <w:p w14:paraId="2DBB9484"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Минералдық тыңайтқыштар сақталатын барлық қоймалар тиейтін, түсіретін және ұнтақтайтын механизмдермен жабдықталуы тиіс. Қоймалар және де таразылармен жабдықталып, оларға келетін жолдар жөнделіп қойылуы керек.</w:t>
      </w:r>
    </w:p>
    <w:p w14:paraId="103D63B3"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r w:rsidRPr="00302B1B">
        <w:rPr>
          <w:rFonts w:ascii="Times New Roman" w:hAnsi="Times New Roman"/>
          <w:i w:val="0"/>
          <w:color w:val="000000" w:themeColor="text1"/>
          <w:sz w:val="28"/>
          <w:szCs w:val="28"/>
          <w:lang w:val="kk-KZ"/>
        </w:rPr>
        <w:t>Тыңайтқыштарды бір-бірімен араластыру үшін қоспа дайындауға арналған ережені сақтаған дұрыс.</w:t>
      </w:r>
    </w:p>
    <w:p w14:paraId="1E26720B" w14:textId="77777777" w:rsidR="00302B1B" w:rsidRPr="00302B1B" w:rsidRDefault="00302B1B" w:rsidP="00302B1B">
      <w:pPr>
        <w:spacing w:after="0" w:line="240" w:lineRule="auto"/>
        <w:ind w:firstLine="426"/>
        <w:jc w:val="both"/>
        <w:rPr>
          <w:rFonts w:ascii="Times New Roman" w:hAnsi="Times New Roman"/>
          <w:i w:val="0"/>
          <w:color w:val="000000" w:themeColor="text1"/>
          <w:sz w:val="28"/>
          <w:szCs w:val="28"/>
          <w:lang w:val="kk-KZ"/>
        </w:rPr>
      </w:pPr>
    </w:p>
    <w:p w14:paraId="43F1C352" w14:textId="77777777" w:rsidR="00302B1B" w:rsidRPr="00302B1B" w:rsidRDefault="00302B1B" w:rsidP="00302B1B">
      <w:pPr>
        <w:tabs>
          <w:tab w:val="left" w:pos="3510"/>
        </w:tabs>
        <w:spacing w:after="0" w:line="240" w:lineRule="auto"/>
        <w:rPr>
          <w:rFonts w:ascii="Times New Roman" w:hAnsi="Times New Roman"/>
          <w:b/>
          <w:i w:val="0"/>
          <w:color w:val="000000" w:themeColor="text1"/>
          <w:sz w:val="28"/>
          <w:szCs w:val="28"/>
          <w:lang w:val="kk-KZ"/>
        </w:rPr>
      </w:pPr>
    </w:p>
    <w:p w14:paraId="2CDF0AE4" w14:textId="77777777" w:rsidR="00BB2E30" w:rsidRPr="00302B1B" w:rsidRDefault="00BB2E30">
      <w:pPr>
        <w:rPr>
          <w:rFonts w:ascii="Times New Roman" w:hAnsi="Times New Roman"/>
          <w:color w:val="000000" w:themeColor="text1"/>
          <w:sz w:val="28"/>
          <w:szCs w:val="28"/>
          <w:lang w:val="kk-KZ"/>
        </w:rPr>
      </w:pPr>
    </w:p>
    <w:sectPr w:rsidR="00BB2E30" w:rsidRPr="00302B1B"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8D02881"/>
    <w:multiLevelType w:val="hybridMultilevel"/>
    <w:tmpl w:val="FD8684B0"/>
    <w:lvl w:ilvl="0" w:tplc="39B07FB0">
      <w:numFmt w:val="bullet"/>
      <w:lvlText w:val="-"/>
      <w:lvlJc w:val="left"/>
      <w:pPr>
        <w:tabs>
          <w:tab w:val="num" w:pos="1011"/>
        </w:tabs>
        <w:ind w:left="1011" w:hanging="585"/>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16cid:durableId="212633902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02B1B"/>
    <w:rsid w:val="00127797"/>
    <w:rsid w:val="001E3C2C"/>
    <w:rsid w:val="00205C08"/>
    <w:rsid w:val="00212552"/>
    <w:rsid w:val="00302B1B"/>
    <w:rsid w:val="00440F3C"/>
    <w:rsid w:val="009F5737"/>
    <w:rsid w:val="00AD614B"/>
    <w:rsid w:val="00BB2E30"/>
    <w:rsid w:val="00D22B8F"/>
    <w:rsid w:val="00D862C7"/>
    <w:rsid w:val="00E128D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4:docId w14:val="542C4236"/>
  <w15:docId w15:val="{1FA49C92-26D1-4673-98C4-C45681C48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2B1B"/>
    <w:pPr>
      <w:spacing w:line="288" w:lineRule="auto"/>
    </w:pPr>
    <w:rPr>
      <w:rFonts w:ascii="Calibri" w:eastAsia="Calibri" w:hAnsi="Calibri" w:cs="Times New Roman"/>
      <w:i/>
      <w:iCs/>
      <w:sz w:val="20"/>
      <w:szCs w:val="20"/>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1459</Words>
  <Characters>8319</Characters>
  <Application>Microsoft Office Word</Application>
  <DocSecurity>0</DocSecurity>
  <Lines>69</Lines>
  <Paragraphs>19</Paragraphs>
  <ScaleCrop>false</ScaleCrop>
  <Company/>
  <LinksUpToDate>false</LinksUpToDate>
  <CharactersWithSpaces>9759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9</cp:revision>
  <dcterms:created xsi:type="dcterms:W3CDTF">2021-01-20T21:09:00Z</dcterms:created>
  <dcterms:modified xsi:type="dcterms:W3CDTF">2024-08-16T04:20:00Z</dcterms:modified>
</cp:coreProperties>
</file>